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100C32" w:rsidP="007C335A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36.45pt;margin-top:-37.35pt;width:242.1pt;height:207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373E4E" w:rsidRDefault="00373E4E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73E4E" w:rsidRDefault="00373E4E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73E4E" w:rsidRPr="00283226" w:rsidRDefault="00373E4E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73E4E" w:rsidRDefault="00373E4E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373E4E" w:rsidRPr="00283226" w:rsidRDefault="00373E4E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Воротнее</w:t>
                  </w:r>
                </w:p>
                <w:p w:rsidR="00373E4E" w:rsidRDefault="00373E4E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373E4E" w:rsidRPr="00283226" w:rsidRDefault="00373E4E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 Сергиевский</w:t>
                  </w:r>
                </w:p>
                <w:p w:rsidR="00373E4E" w:rsidRPr="00283226" w:rsidRDefault="00373E4E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73E4E" w:rsidRPr="00283226" w:rsidRDefault="00373E4E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73E4E" w:rsidRPr="00283226" w:rsidRDefault="00373E4E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73E4E" w:rsidRPr="00283226" w:rsidRDefault="00373E4E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373E4E" w:rsidRPr="00283226" w:rsidRDefault="00373E4E" w:rsidP="007C335A"/>
              </w:txbxContent>
            </v:textbox>
          </v:rect>
        </w:pict>
      </w:r>
      <w:r w:rsidR="00373E4E">
        <w:rPr>
          <w:sz w:val="28"/>
          <w:szCs w:val="28"/>
        </w:rPr>
        <w:t>ПРОЕКТ</w: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3E4E" w:rsidRDefault="00373E4E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3E4E" w:rsidRDefault="00373E4E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3E4E" w:rsidRDefault="00373E4E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373E4E">
        <w:rPr>
          <w:b/>
          <w:sz w:val="28"/>
          <w:szCs w:val="28"/>
        </w:rPr>
        <w:t>Воротнее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373E4E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 w:rsidR="00373E4E">
        <w:rPr>
          <w:sz w:val="28"/>
          <w:szCs w:val="28"/>
        </w:rPr>
        <w:t>21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373E4E">
        <w:rPr>
          <w:sz w:val="28"/>
          <w:szCs w:val="28"/>
        </w:rPr>
        <w:t>28.07</w:t>
      </w:r>
      <w:r w:rsidRPr="00283226">
        <w:rPr>
          <w:sz w:val="28"/>
          <w:szCs w:val="28"/>
        </w:rPr>
        <w:t>.2015 г. «</w:t>
      </w:r>
      <w:proofErr w:type="gramStart"/>
      <w:r w:rsidRPr="00283226">
        <w:rPr>
          <w:sz w:val="28"/>
          <w:szCs w:val="28"/>
        </w:rPr>
        <w:t>Об</w:t>
      </w:r>
      <w:proofErr w:type="gramEnd"/>
      <w:r w:rsidRPr="00283226">
        <w:rPr>
          <w:sz w:val="28"/>
          <w:szCs w:val="28"/>
        </w:rPr>
        <w:t xml:space="preserve"> </w:t>
      </w:r>
      <w:proofErr w:type="gramStart"/>
      <w:r w:rsidRPr="00283226">
        <w:rPr>
          <w:sz w:val="28"/>
          <w:szCs w:val="28"/>
        </w:rPr>
        <w:t xml:space="preserve">утверждении Реестра муниципальных услуг сельского поселения </w:t>
      </w:r>
      <w:r w:rsidR="00373E4E">
        <w:rPr>
          <w:sz w:val="28"/>
          <w:szCs w:val="28"/>
        </w:rPr>
        <w:t xml:space="preserve">Воротнее </w:t>
      </w:r>
      <w:r w:rsidRPr="00283226">
        <w:rPr>
          <w:sz w:val="28"/>
          <w:szCs w:val="28"/>
        </w:rPr>
        <w:t xml:space="preserve">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373E4E">
        <w:rPr>
          <w:sz w:val="28"/>
          <w:szCs w:val="28"/>
        </w:rPr>
        <w:t>Воротнее</w:t>
      </w:r>
      <w:r w:rsidRPr="00283226">
        <w:rPr>
          <w:sz w:val="28"/>
          <w:szCs w:val="28"/>
        </w:rPr>
        <w:t xml:space="preserve"> муниципального района Сергиевский </w:t>
      </w:r>
      <w:proofErr w:type="gramEnd"/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373E4E">
        <w:rPr>
          <w:rFonts w:ascii="Times New Roman" w:hAnsi="Times New Roman"/>
          <w:sz w:val="28"/>
          <w:szCs w:val="28"/>
        </w:rPr>
        <w:t>Воротнее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</w:t>
      </w:r>
      <w:r w:rsidR="00373E4E">
        <w:rPr>
          <w:rFonts w:ascii="Times New Roman" w:hAnsi="Times New Roman"/>
          <w:sz w:val="28"/>
          <w:szCs w:val="28"/>
        </w:rPr>
        <w:t>ипального района Сергиевский № 13</w:t>
      </w:r>
      <w:r w:rsidR="00C0325E" w:rsidRPr="00C0325E">
        <w:rPr>
          <w:rFonts w:ascii="Times New Roman" w:hAnsi="Times New Roman"/>
          <w:sz w:val="28"/>
          <w:szCs w:val="28"/>
        </w:rPr>
        <w:t xml:space="preserve"> о</w:t>
      </w:r>
      <w:r w:rsidR="00373E4E">
        <w:rPr>
          <w:rFonts w:ascii="Times New Roman" w:hAnsi="Times New Roman"/>
          <w:sz w:val="28"/>
          <w:szCs w:val="28"/>
        </w:rPr>
        <w:t>т 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373E4E">
        <w:rPr>
          <w:rFonts w:ascii="Times New Roman" w:hAnsi="Times New Roman"/>
          <w:sz w:val="28"/>
          <w:szCs w:val="28"/>
        </w:rPr>
        <w:t>Воротнее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373E4E">
        <w:rPr>
          <w:rFonts w:ascii="Times New Roman" w:hAnsi="Times New Roman"/>
          <w:sz w:val="28"/>
          <w:szCs w:val="28"/>
        </w:rPr>
        <w:t xml:space="preserve">Воротнее </w:t>
      </w:r>
      <w:r w:rsidRPr="00C0325E">
        <w:rPr>
          <w:rFonts w:ascii="Times New Roman" w:hAnsi="Times New Roman"/>
          <w:sz w:val="28"/>
          <w:szCs w:val="28"/>
        </w:rPr>
        <w:t>муниц</w:t>
      </w:r>
      <w:r w:rsidR="00373E4E">
        <w:rPr>
          <w:rFonts w:ascii="Times New Roman" w:hAnsi="Times New Roman"/>
          <w:sz w:val="28"/>
          <w:szCs w:val="28"/>
        </w:rPr>
        <w:t xml:space="preserve">ипального района Сергиевский № 39 </w:t>
      </w:r>
      <w:r w:rsidRPr="00C0325E">
        <w:rPr>
          <w:rFonts w:ascii="Times New Roman" w:hAnsi="Times New Roman"/>
          <w:sz w:val="28"/>
          <w:szCs w:val="28"/>
        </w:rPr>
        <w:t xml:space="preserve">от </w:t>
      </w:r>
      <w:r w:rsidR="00373E4E">
        <w:rPr>
          <w:rFonts w:ascii="Times New Roman" w:hAnsi="Times New Roman"/>
          <w:sz w:val="28"/>
          <w:szCs w:val="28"/>
        </w:rPr>
        <w:t>10.</w:t>
      </w:r>
      <w:r w:rsidRPr="00C0325E">
        <w:rPr>
          <w:rFonts w:ascii="Times New Roman" w:hAnsi="Times New Roman"/>
          <w:sz w:val="28"/>
          <w:szCs w:val="28"/>
        </w:rPr>
        <w:t xml:space="preserve">10.2016 г. О внесении изменений и дополнений в постановление Администрации сельского  поселения </w:t>
      </w:r>
      <w:r w:rsidR="00373E4E">
        <w:rPr>
          <w:rFonts w:ascii="Times New Roman" w:hAnsi="Times New Roman"/>
          <w:sz w:val="28"/>
          <w:szCs w:val="28"/>
        </w:rPr>
        <w:t xml:space="preserve">Воротнее </w:t>
      </w:r>
      <w:r w:rsidRPr="00C0325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73E4E">
        <w:rPr>
          <w:rFonts w:ascii="Times New Roman" w:hAnsi="Times New Roman"/>
          <w:sz w:val="28"/>
          <w:szCs w:val="28"/>
        </w:rPr>
        <w:t>Сергиевский от  28.03.2016 г. № 13</w:t>
      </w:r>
      <w:r w:rsidRPr="00C0325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</w:t>
      </w:r>
      <w:r w:rsidRPr="00C0325E">
        <w:rPr>
          <w:rFonts w:ascii="Times New Roman" w:hAnsi="Times New Roman"/>
          <w:sz w:val="28"/>
          <w:szCs w:val="28"/>
        </w:rPr>
        <w:lastRenderedPageBreak/>
        <w:t xml:space="preserve">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373E4E">
        <w:rPr>
          <w:rFonts w:ascii="Times New Roman" w:hAnsi="Times New Roman"/>
          <w:sz w:val="28"/>
          <w:szCs w:val="28"/>
        </w:rPr>
        <w:t xml:space="preserve">Воротнее </w:t>
      </w:r>
      <w:r w:rsidRPr="00C0325E">
        <w:rPr>
          <w:rFonts w:ascii="Times New Roman" w:hAnsi="Times New Roman"/>
          <w:sz w:val="28"/>
          <w:szCs w:val="28"/>
        </w:rPr>
        <w:t>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r w:rsidRPr="00C032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373E4E">
        <w:rPr>
          <w:rFonts w:ascii="Times New Roman" w:hAnsi="Times New Roman"/>
          <w:sz w:val="28"/>
          <w:szCs w:val="28"/>
        </w:rPr>
        <w:t xml:space="preserve">Воротнее </w:t>
      </w:r>
      <w:r w:rsidRPr="00E22E99">
        <w:rPr>
          <w:rFonts w:ascii="Times New Roman" w:hAnsi="Times New Roman"/>
          <w:sz w:val="28"/>
          <w:szCs w:val="28"/>
        </w:rPr>
        <w:t>муниц</w:t>
      </w:r>
      <w:r w:rsidR="00373E4E">
        <w:rPr>
          <w:rFonts w:ascii="Times New Roman" w:hAnsi="Times New Roman"/>
          <w:sz w:val="28"/>
          <w:szCs w:val="28"/>
        </w:rPr>
        <w:t>ипального района Сергиевский № 43</w:t>
      </w:r>
      <w:r w:rsidRPr="00E22E99">
        <w:rPr>
          <w:rFonts w:ascii="Times New Roman" w:hAnsi="Times New Roman"/>
          <w:sz w:val="28"/>
          <w:szCs w:val="28"/>
        </w:rPr>
        <w:t xml:space="preserve"> от </w:t>
      </w:r>
      <w:r w:rsidR="00373E4E">
        <w:rPr>
          <w:rFonts w:ascii="Times New Roman" w:hAnsi="Times New Roman"/>
          <w:sz w:val="28"/>
          <w:szCs w:val="28"/>
        </w:rPr>
        <w:t>10.</w:t>
      </w:r>
      <w:r w:rsidRPr="00E22E99">
        <w:rPr>
          <w:rFonts w:ascii="Times New Roman" w:hAnsi="Times New Roman"/>
          <w:sz w:val="28"/>
          <w:szCs w:val="28"/>
        </w:rPr>
        <w:t>1</w:t>
      </w:r>
      <w:r w:rsidR="00D7553E">
        <w:rPr>
          <w:rFonts w:ascii="Times New Roman" w:hAnsi="Times New Roman"/>
          <w:sz w:val="28"/>
          <w:szCs w:val="28"/>
        </w:rPr>
        <w:t>1.2016</w:t>
      </w:r>
      <w:r w:rsidRPr="00E22E99">
        <w:rPr>
          <w:rFonts w:ascii="Times New Roman" w:hAnsi="Times New Roman"/>
          <w:sz w:val="28"/>
          <w:szCs w:val="28"/>
        </w:rPr>
        <w:t xml:space="preserve">г. «О внесении изменений и дополнений в постановление Администрации сельского  поселения </w:t>
      </w:r>
      <w:r w:rsidR="00D7553E">
        <w:rPr>
          <w:rFonts w:ascii="Times New Roman" w:hAnsi="Times New Roman"/>
          <w:sz w:val="28"/>
          <w:szCs w:val="28"/>
        </w:rPr>
        <w:t>Воротнее</w:t>
      </w:r>
      <w:r w:rsidRPr="00E22E99">
        <w:rPr>
          <w:rFonts w:ascii="Times New Roman" w:hAnsi="Times New Roman"/>
          <w:sz w:val="28"/>
          <w:szCs w:val="28"/>
        </w:rPr>
        <w:t xml:space="preserve"> муниципа</w:t>
      </w:r>
      <w:r w:rsidR="00D7553E">
        <w:rPr>
          <w:rFonts w:ascii="Times New Roman" w:hAnsi="Times New Roman"/>
          <w:sz w:val="28"/>
          <w:szCs w:val="28"/>
        </w:rPr>
        <w:t>льного района Сергиевский от 28.03.2016г. № 13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D7553E">
        <w:rPr>
          <w:rFonts w:ascii="Times New Roman" w:hAnsi="Times New Roman"/>
          <w:sz w:val="28"/>
          <w:szCs w:val="28"/>
        </w:rPr>
        <w:t>Воротнее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604024" w:rsidRPr="00604024" w:rsidRDefault="00604024" w:rsidP="00604024">
      <w:pPr>
        <w:pStyle w:val="a7"/>
        <w:widowControl w:val="0"/>
        <w:numPr>
          <w:ilvl w:val="0"/>
          <w:numId w:val="20"/>
        </w:numPr>
        <w:tabs>
          <w:tab w:val="left" w:pos="1080"/>
        </w:tabs>
        <w:ind w:left="993" w:hanging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60402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0DAB" w:rsidRPr="00460DAB" w:rsidRDefault="00460DAB" w:rsidP="00604024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460DAB">
        <w:rPr>
          <w:sz w:val="28"/>
          <w:szCs w:val="28"/>
        </w:rPr>
        <w:t>Контроль за</w:t>
      </w:r>
      <w:proofErr w:type="gramEnd"/>
      <w:r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D7553E">
        <w:rPr>
          <w:sz w:val="28"/>
          <w:szCs w:val="28"/>
        </w:rPr>
        <w:t>Воротнее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</w:t>
      </w:r>
      <w:proofErr w:type="spellStart"/>
      <w:r w:rsidR="00D7553E">
        <w:rPr>
          <w:sz w:val="28"/>
          <w:szCs w:val="28"/>
        </w:rPr>
        <w:t>А.И.Сидельников</w:t>
      </w:r>
      <w:proofErr w:type="spellEnd"/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7553E" w:rsidRDefault="00D7553E" w:rsidP="000F5AE0">
      <w:pPr>
        <w:jc w:val="right"/>
        <w:outlineLvl w:val="0"/>
        <w:rPr>
          <w:sz w:val="24"/>
          <w:szCs w:val="24"/>
        </w:rPr>
      </w:pPr>
    </w:p>
    <w:p w:rsidR="00D7553E" w:rsidRDefault="00D7553E" w:rsidP="000F5AE0">
      <w:pPr>
        <w:jc w:val="right"/>
        <w:outlineLvl w:val="0"/>
        <w:rPr>
          <w:sz w:val="24"/>
          <w:szCs w:val="24"/>
        </w:rPr>
      </w:pPr>
    </w:p>
    <w:p w:rsidR="00D7553E" w:rsidRDefault="00D7553E" w:rsidP="000F5AE0">
      <w:pPr>
        <w:jc w:val="right"/>
        <w:outlineLvl w:val="0"/>
        <w:rPr>
          <w:sz w:val="24"/>
          <w:szCs w:val="24"/>
        </w:rPr>
      </w:pPr>
    </w:p>
    <w:p w:rsidR="00D7553E" w:rsidRDefault="00D7553E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D7553E">
        <w:rPr>
          <w:sz w:val="24"/>
          <w:szCs w:val="24"/>
        </w:rPr>
        <w:t>Воротнее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714ACB">
        <w:rPr>
          <w:sz w:val="24"/>
          <w:szCs w:val="24"/>
        </w:rPr>
        <w:t xml:space="preserve"> 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2016</w:t>
      </w:r>
      <w:r w:rsidR="00C0325E">
        <w:rPr>
          <w:sz w:val="24"/>
          <w:szCs w:val="24"/>
        </w:rPr>
        <w:t xml:space="preserve"> 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3F2891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3F2891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D064B3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3F2891">
        <w:rPr>
          <w:sz w:val="28"/>
          <w:szCs w:val="28"/>
        </w:rPr>
        <w:t xml:space="preserve">  </w:t>
      </w:r>
      <w:r w:rsidR="009A45B2" w:rsidRPr="00C63A86">
        <w:rPr>
          <w:sz w:val="28"/>
          <w:szCs w:val="28"/>
        </w:rPr>
        <w:t>к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D7553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064B3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3B3FE5">
        <w:rPr>
          <w:sz w:val="28"/>
          <w:szCs w:val="28"/>
        </w:rPr>
        <w:t xml:space="preserve"> 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</w:t>
      </w:r>
      <w:r w:rsidRPr="008D2F44">
        <w:rPr>
          <w:sz w:val="28"/>
          <w:szCs w:val="28"/>
        </w:rPr>
        <w:lastRenderedPageBreak/>
        <w:t>простой письменной, или без доверенности в соответствии с действующим 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D7553E">
        <w:rPr>
          <w:sz w:val="28"/>
          <w:szCs w:val="28"/>
        </w:rPr>
        <w:t xml:space="preserve">Воротнее </w:t>
      </w:r>
      <w:r w:rsidR="0004054C">
        <w:rPr>
          <w:sz w:val="28"/>
          <w:szCs w:val="28"/>
        </w:rPr>
        <w:t>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</w:t>
      </w:r>
      <w:r w:rsidRPr="006A210B">
        <w:rPr>
          <w:sz w:val="28"/>
          <w:szCs w:val="28"/>
        </w:rPr>
        <w:lastRenderedPageBreak/>
        <w:t>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D064B3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D064B3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B32A2F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8603F6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D064B3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96D43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09.02.2009 № 8-ФЗ «Об обеспечении доступа к </w:t>
      </w:r>
      <w:r w:rsidRPr="0073396D">
        <w:rPr>
          <w:sz w:val="28"/>
          <w:szCs w:val="28"/>
        </w:rPr>
        <w:lastRenderedPageBreak/>
        <w:t>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>сельского поселения</w:t>
      </w:r>
      <w:r w:rsidR="00D7553E">
        <w:rPr>
          <w:sz w:val="28"/>
          <w:szCs w:val="28"/>
        </w:rPr>
        <w:t xml:space="preserve"> Воротнее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172EF3" w:rsidRPr="00AD56AA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lastRenderedPageBreak/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и</w:t>
      </w:r>
      <w:r w:rsidR="00F537C2" w:rsidRPr="00F537C2"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иных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D064B3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 xml:space="preserve">. При предоставлении муниципальной услуги запрещается требовать от </w:t>
      </w:r>
      <w:r w:rsidRPr="00C44D81">
        <w:rPr>
          <w:sz w:val="28"/>
          <w:szCs w:val="28"/>
        </w:rPr>
        <w:lastRenderedPageBreak/>
        <w:t>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текст в </w:t>
      </w:r>
      <w:r w:rsidR="00872F7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</w:t>
      </w:r>
      <w:r>
        <w:rPr>
          <w:sz w:val="28"/>
          <w:szCs w:val="28"/>
        </w:rPr>
        <w:lastRenderedPageBreak/>
        <w:t xml:space="preserve">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D064B3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</w:t>
      </w:r>
      <w:r w:rsidRPr="007534C4">
        <w:rPr>
          <w:sz w:val="28"/>
          <w:szCs w:val="28"/>
        </w:rPr>
        <w:lastRenderedPageBreak/>
        <w:t xml:space="preserve">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</w:t>
      </w:r>
      <w:r>
        <w:rPr>
          <w:rFonts w:eastAsia="Calibri"/>
          <w:color w:val="000000"/>
          <w:sz w:val="28"/>
          <w:szCs w:val="28"/>
        </w:rPr>
        <w:lastRenderedPageBreak/>
        <w:t xml:space="preserve">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lastRenderedPageBreak/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 xml:space="preserve">посредством почтовой связи, в электронной форме посредством Единого портала или Регионального портала. Специалист, </w:t>
      </w:r>
      <w:r w:rsidRPr="0008242C">
        <w:rPr>
          <w:sz w:val="28"/>
          <w:szCs w:val="28"/>
        </w:rPr>
        <w:lastRenderedPageBreak/>
        <w:t>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9E7420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FF628D"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D06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D064B3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D7F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D0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D064B3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E6D1F" w:rsidRDefault="000E6D1F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  <w:r w:rsidRPr="00730729">
        <w:rPr>
          <w:sz w:val="28"/>
          <w:szCs w:val="28"/>
        </w:rPr>
        <w:t xml:space="preserve">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 </w:t>
      </w: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0E6D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r w:rsidR="000E6D1F">
              <w:rPr>
                <w:sz w:val="28"/>
                <w:szCs w:val="28"/>
              </w:rPr>
              <w:t>село Воротнее</w:t>
            </w:r>
            <w:r w:rsidRPr="00730729">
              <w:rPr>
                <w:sz w:val="28"/>
                <w:szCs w:val="28"/>
              </w:rPr>
              <w:t xml:space="preserve">, </w:t>
            </w:r>
            <w:r w:rsidR="000E6D1F">
              <w:rPr>
                <w:sz w:val="28"/>
                <w:szCs w:val="28"/>
              </w:rPr>
              <w:t xml:space="preserve">переулок Почтовый, 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0E6D1F">
              <w:rPr>
                <w:sz w:val="28"/>
                <w:szCs w:val="28"/>
              </w:rPr>
              <w:t>5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0E6D1F">
              <w:rPr>
                <w:sz w:val="28"/>
                <w:szCs w:val="28"/>
              </w:rPr>
              <w:t>522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r w:rsidR="00E04328">
              <w:rPr>
                <w:sz w:val="28"/>
                <w:szCs w:val="28"/>
              </w:rPr>
              <w:t>село Воротнее</w:t>
            </w:r>
            <w:r w:rsidR="00E04328" w:rsidRPr="00730729">
              <w:rPr>
                <w:sz w:val="28"/>
                <w:szCs w:val="28"/>
              </w:rPr>
              <w:t xml:space="preserve">, </w:t>
            </w:r>
            <w:r w:rsidR="00E04328">
              <w:rPr>
                <w:sz w:val="28"/>
                <w:szCs w:val="28"/>
              </w:rPr>
              <w:t xml:space="preserve">переулок Почтовый, </w:t>
            </w:r>
            <w:r w:rsidR="00E04328" w:rsidRPr="00730729">
              <w:rPr>
                <w:sz w:val="28"/>
                <w:szCs w:val="28"/>
              </w:rPr>
              <w:t xml:space="preserve"> д.</w:t>
            </w:r>
            <w:r w:rsidR="00E04328">
              <w:rPr>
                <w:sz w:val="28"/>
                <w:szCs w:val="28"/>
              </w:rPr>
              <w:t>5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E04328">
              <w:rPr>
                <w:sz w:val="28"/>
                <w:szCs w:val="28"/>
              </w:rPr>
              <w:t>41115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E04328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vorotnee</w:t>
            </w:r>
            <w:r w:rsidR="00730729" w:rsidRPr="00730729"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  <w:lang w:val="en-US"/>
        </w:rPr>
      </w:pPr>
    </w:p>
    <w:p w:rsidR="00E04328" w:rsidRPr="00E04328" w:rsidRDefault="00E0432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04328" w:rsidRDefault="00E0432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04328" w:rsidRDefault="00E0432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04328" w:rsidRDefault="00E0432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04328" w:rsidRDefault="00E0432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04328" w:rsidRDefault="00E0432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04328" w:rsidRDefault="00E0432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04328" w:rsidRDefault="00E0432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04328" w:rsidRDefault="00E0432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Pr="006C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BF2602">
        <w:rPr>
          <w:sz w:val="24"/>
          <w:szCs w:val="24"/>
        </w:rPr>
        <w:t xml:space="preserve">                       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</w:t>
      </w:r>
      <w:r w:rsidR="00BF2602">
        <w:rPr>
          <w:bCs/>
          <w:sz w:val="24"/>
          <w:szCs w:val="24"/>
        </w:rPr>
        <w:t xml:space="preserve">                          </w:t>
      </w:r>
      <w:r w:rsidRPr="00231761">
        <w:rPr>
          <w:bCs/>
          <w:sz w:val="24"/>
          <w:szCs w:val="24"/>
        </w:rPr>
        <w:t>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 w:rsidR="00E04328">
              <w:rPr>
                <w:sz w:val="24"/>
                <w:szCs w:val="24"/>
              </w:rPr>
              <w:t>Воротнее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E04328" w:rsidRDefault="00E04328" w:rsidP="00730729">
      <w:pPr>
        <w:ind w:left="2694" w:firstLine="708"/>
        <w:jc w:val="right"/>
        <w:rPr>
          <w:sz w:val="28"/>
          <w:szCs w:val="28"/>
        </w:rPr>
      </w:pPr>
    </w:p>
    <w:p w:rsidR="00E04328" w:rsidRDefault="00E04328" w:rsidP="00730729">
      <w:pPr>
        <w:ind w:left="2694" w:firstLine="708"/>
        <w:jc w:val="right"/>
        <w:rPr>
          <w:sz w:val="28"/>
          <w:szCs w:val="28"/>
        </w:rPr>
      </w:pPr>
    </w:p>
    <w:p w:rsidR="00E04328" w:rsidRDefault="00E04328" w:rsidP="00730729">
      <w:pPr>
        <w:ind w:left="2694" w:firstLine="708"/>
        <w:jc w:val="right"/>
        <w:rPr>
          <w:sz w:val="28"/>
          <w:szCs w:val="28"/>
        </w:rPr>
      </w:pPr>
    </w:p>
    <w:p w:rsidR="00E04328" w:rsidRPr="00C602C0" w:rsidRDefault="00E04328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100C32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373E4E" w:rsidRPr="00FB485F" w:rsidRDefault="00373E4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100C32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100C32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373E4E" w:rsidRPr="00920CC4" w:rsidRDefault="00373E4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373E4E" w:rsidRPr="00920CC4" w:rsidRDefault="00373E4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373E4E" w:rsidRPr="00920CC4" w:rsidRDefault="00373E4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373E4E" w:rsidRPr="00920CC4" w:rsidRDefault="00373E4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373E4E" w:rsidRPr="00920CC4" w:rsidRDefault="00373E4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373E4E" w:rsidRPr="00920CC4" w:rsidRDefault="00373E4E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373E4E" w:rsidRPr="009B3DCC" w:rsidRDefault="00373E4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sectPr w:rsidR="00F71288" w:rsidSect="00AD56AA">
      <w:headerReference w:type="default" r:id="rId11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32" w:rsidRDefault="00100C32" w:rsidP="00AA6A8A">
      <w:r>
        <w:separator/>
      </w:r>
    </w:p>
  </w:endnote>
  <w:endnote w:type="continuationSeparator" w:id="0">
    <w:p w:rsidR="00100C32" w:rsidRDefault="00100C32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32" w:rsidRDefault="00100C32" w:rsidP="00AA6A8A">
      <w:r>
        <w:separator/>
      </w:r>
    </w:p>
  </w:footnote>
  <w:footnote w:type="continuationSeparator" w:id="0">
    <w:p w:rsidR="00100C32" w:rsidRDefault="00100C32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373E4E" w:rsidRDefault="00100C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E4E" w:rsidRDefault="00373E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7A567C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9"/>
  </w:num>
  <w:num w:numId="5">
    <w:abstractNumId w:val="17"/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"/>
  </w:num>
  <w:num w:numId="19">
    <w:abstractNumId w:val="2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6D1F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0C32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45C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3E4E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557D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24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847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34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18F6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2C0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553E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4328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23C1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2"/>
        <o:r id="V:Rule3" type="connector" idref="#AutoShape 29"/>
        <o:r id="V:Rule4" type="connector" idref="#AutoShape 30"/>
        <o:r id="V:Rule5" type="connector" idref="#AutoShape 27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4F1D-23E3-49C8-AB48-A5AD9302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32</Pages>
  <Words>8054</Words>
  <Characters>45908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4</cp:revision>
  <cp:lastPrinted>2017-01-09T06:06:00Z</cp:lastPrinted>
  <dcterms:created xsi:type="dcterms:W3CDTF">2015-12-15T11:54:00Z</dcterms:created>
  <dcterms:modified xsi:type="dcterms:W3CDTF">2017-01-13T11:30:00Z</dcterms:modified>
</cp:coreProperties>
</file>